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pPr w:leftFromText="141" w:rightFromText="141" w:vertAnchor="text" w:tblpY="1"/>
        <w:tblOverlap w:val="never"/>
        <w:tblW w:w="8897" w:type="dxa"/>
        <w:tblLook w:val="04A0" w:firstRow="1" w:lastRow="0" w:firstColumn="1" w:lastColumn="0" w:noHBand="0" w:noVBand="1"/>
      </w:tblPr>
      <w:tblGrid>
        <w:gridCol w:w="8897"/>
      </w:tblGrid>
      <w:tr w:rsidR="00CD3E87" w:rsidRPr="005708A7" w14:paraId="210ED218" w14:textId="77777777" w:rsidTr="00CD3E87">
        <w:tc>
          <w:tcPr>
            <w:tcW w:w="8897" w:type="dxa"/>
          </w:tcPr>
          <w:p w14:paraId="57CC4CB6" w14:textId="77777777" w:rsidR="00CD3E87" w:rsidRPr="005708A7" w:rsidRDefault="00CD3E87" w:rsidP="00CD3E87">
            <w:pPr>
              <w:rPr>
                <w:rFonts w:ascii="Calibri Light" w:hAnsi="Calibri Light"/>
                <w:b/>
                <w:sz w:val="22"/>
                <w:szCs w:val="22"/>
              </w:rPr>
            </w:pPr>
            <w:r w:rsidRPr="005708A7">
              <w:rPr>
                <w:rFonts w:ascii="Calibri Light" w:hAnsi="Calibri Light"/>
                <w:b/>
                <w:sz w:val="22"/>
                <w:szCs w:val="22"/>
              </w:rPr>
              <w:t>Osaühingu ärinimi: _________</w:t>
            </w:r>
          </w:p>
          <w:p w14:paraId="53A7BAC2" w14:textId="77777777" w:rsidR="00CD3E87" w:rsidRPr="005708A7" w:rsidRDefault="00CD3E87" w:rsidP="00CD3E87">
            <w:pPr>
              <w:rPr>
                <w:rFonts w:ascii="Calibri Light" w:hAnsi="Calibri Light"/>
                <w:i/>
              </w:rPr>
            </w:pPr>
            <w:r w:rsidRPr="005708A7">
              <w:rPr>
                <w:rFonts w:ascii="Calibri Light" w:hAnsi="Calibri Light"/>
                <w:i/>
                <w:color w:val="595959" w:themeColor="text1" w:themeTint="A6"/>
                <w:lang w:val="en-GB" w:eastAsia="en-GB"/>
              </w:rPr>
              <w:t>(business name of the private limited company)</w:t>
            </w:r>
          </w:p>
          <w:p w14:paraId="64B479BE" w14:textId="77777777" w:rsidR="00CD3E87" w:rsidRPr="005708A7" w:rsidRDefault="00CD3E87" w:rsidP="00CD3E87">
            <w:pPr>
              <w:rPr>
                <w:rFonts w:ascii="Calibri Light" w:hAnsi="Calibri Light"/>
                <w:sz w:val="22"/>
                <w:szCs w:val="22"/>
              </w:rPr>
            </w:pPr>
          </w:p>
          <w:p w14:paraId="7AAF62FC" w14:textId="77777777" w:rsidR="00CD3E87" w:rsidRPr="005708A7" w:rsidRDefault="00CD3E87" w:rsidP="00CD3E87">
            <w:pPr>
              <w:rPr>
                <w:rFonts w:ascii="Calibri Light" w:hAnsi="Calibri Light"/>
                <w:b/>
                <w:bCs/>
                <w:sz w:val="22"/>
                <w:szCs w:val="22"/>
              </w:rPr>
            </w:pPr>
            <w:r w:rsidRPr="005708A7">
              <w:rPr>
                <w:rFonts w:ascii="Calibri Light" w:hAnsi="Calibri Light"/>
                <w:sz w:val="22"/>
                <w:szCs w:val="22"/>
              </w:rPr>
              <w:t xml:space="preserve">Registrikood: </w:t>
            </w:r>
            <w:r w:rsidRPr="005708A7">
              <w:rPr>
                <w:rFonts w:ascii="Calibri Light" w:hAnsi="Calibri Light"/>
                <w:b/>
                <w:bCs/>
                <w:sz w:val="22"/>
                <w:szCs w:val="22"/>
              </w:rPr>
              <w:t>________</w:t>
            </w:r>
          </w:p>
          <w:p w14:paraId="35754C24" w14:textId="77777777" w:rsidR="00CD3E87" w:rsidRPr="005708A7" w:rsidRDefault="00CD3E87" w:rsidP="00CD3E87">
            <w:pPr>
              <w:rPr>
                <w:rFonts w:ascii="Calibri Light" w:hAnsi="Calibri Light"/>
                <w:i/>
                <w:color w:val="595959" w:themeColor="text1" w:themeTint="A6"/>
                <w:lang w:val="en-GB" w:eastAsia="en-GB"/>
              </w:rPr>
            </w:pPr>
            <w:r w:rsidRPr="005708A7">
              <w:rPr>
                <w:rFonts w:ascii="Calibri Light" w:hAnsi="Calibri Light"/>
                <w:i/>
                <w:color w:val="595959" w:themeColor="text1" w:themeTint="A6"/>
                <w:lang w:val="en-GB" w:eastAsia="en-GB"/>
              </w:rPr>
              <w:t>(registry code)</w:t>
            </w:r>
          </w:p>
          <w:p w14:paraId="6FF6DED0" w14:textId="77777777" w:rsidR="00CD3E87" w:rsidRPr="005708A7" w:rsidRDefault="00CD3E87" w:rsidP="00CD3E87">
            <w:pPr>
              <w:rPr>
                <w:rFonts w:ascii="Calibri Light" w:hAnsi="Calibri Light"/>
                <w:sz w:val="22"/>
                <w:szCs w:val="22"/>
              </w:rPr>
            </w:pPr>
          </w:p>
          <w:p w14:paraId="6CCEB451" w14:textId="77777777" w:rsidR="00CD3E87" w:rsidRPr="005708A7" w:rsidRDefault="00CD3E87" w:rsidP="00CD3E87">
            <w:pPr>
              <w:rPr>
                <w:rFonts w:ascii="Calibri Light" w:hAnsi="Calibri Light"/>
                <w:sz w:val="22"/>
                <w:szCs w:val="22"/>
              </w:rPr>
            </w:pPr>
            <w:r w:rsidRPr="005708A7">
              <w:rPr>
                <w:rFonts w:ascii="Calibri Light" w:hAnsi="Calibri Light"/>
                <w:bCs/>
                <w:sz w:val="22"/>
                <w:szCs w:val="22"/>
              </w:rPr>
              <w:t>Asukoht: __________</w:t>
            </w:r>
          </w:p>
          <w:p w14:paraId="50E870D9" w14:textId="77777777" w:rsidR="00CD3E87" w:rsidRPr="005708A7" w:rsidRDefault="00CD3E87" w:rsidP="00CD3E87">
            <w:pPr>
              <w:rPr>
                <w:rFonts w:ascii="Calibri Light" w:hAnsi="Calibri Light"/>
                <w:i/>
                <w:color w:val="595959" w:themeColor="text1" w:themeTint="A6"/>
                <w:lang w:val="en-GB" w:eastAsia="en-GB"/>
              </w:rPr>
            </w:pPr>
            <w:r w:rsidRPr="005708A7">
              <w:rPr>
                <w:rFonts w:ascii="Calibri Light" w:hAnsi="Calibri Light"/>
                <w:i/>
                <w:color w:val="595959" w:themeColor="text1" w:themeTint="A6"/>
                <w:lang w:val="en-GB" w:eastAsia="en-GB"/>
              </w:rPr>
              <w:t>(registered office)</w:t>
            </w:r>
          </w:p>
          <w:p w14:paraId="003E248E" w14:textId="77777777" w:rsidR="00CD3E87" w:rsidRPr="005708A7" w:rsidRDefault="00CD3E87" w:rsidP="00CD3E87">
            <w:pPr>
              <w:jc w:val="right"/>
              <w:rPr>
                <w:rFonts w:ascii="Calibri Light" w:hAnsi="Calibri Light"/>
                <w:iCs/>
                <w:sz w:val="22"/>
                <w:szCs w:val="22"/>
                <w:lang w:eastAsia="en-US"/>
              </w:rPr>
            </w:pPr>
          </w:p>
          <w:p w14:paraId="6B0D0864" w14:textId="77777777" w:rsidR="00CD3E87" w:rsidRPr="005708A7" w:rsidRDefault="00CD3E87" w:rsidP="00CD3E87">
            <w:pPr>
              <w:jc w:val="right"/>
              <w:rPr>
                <w:rFonts w:ascii="Calibri Light" w:hAnsi="Calibri Light"/>
                <w:sz w:val="22"/>
                <w:szCs w:val="22"/>
              </w:rPr>
            </w:pPr>
            <w:r w:rsidRPr="005708A7">
              <w:rPr>
                <w:rFonts w:ascii="Calibri Light" w:hAnsi="Calibri Light"/>
                <w:iCs/>
                <w:sz w:val="22"/>
                <w:szCs w:val="22"/>
                <w:lang w:eastAsia="en-US"/>
              </w:rPr>
              <w:t>/</w:t>
            </w:r>
            <w:r w:rsidRPr="005708A7">
              <w:rPr>
                <w:rFonts w:ascii="Calibri Light" w:hAnsi="Calibri Light"/>
                <w:i/>
                <w:iCs/>
                <w:sz w:val="22"/>
                <w:szCs w:val="22"/>
                <w:highlight w:val="yellow"/>
                <w:lang w:eastAsia="en-US"/>
              </w:rPr>
              <w:t>Otsuse vastuvõtmise kuupäev</w:t>
            </w:r>
            <w:r w:rsidRPr="005708A7">
              <w:rPr>
                <w:rFonts w:ascii="Calibri Light" w:hAnsi="Calibri Light"/>
                <w:sz w:val="22"/>
                <w:szCs w:val="22"/>
                <w:lang w:eastAsia="en-US"/>
              </w:rPr>
              <w:t>/</w:t>
            </w:r>
          </w:p>
          <w:p w14:paraId="6E07D5FE" w14:textId="53EB92FE" w:rsidR="00CD3E87" w:rsidRPr="005708A7" w:rsidRDefault="00CD3E87" w:rsidP="00CD3E87">
            <w:pPr>
              <w:jc w:val="right"/>
              <w:rPr>
                <w:rFonts w:ascii="Calibri Light" w:hAnsi="Calibri Light"/>
                <w:color w:val="595959" w:themeColor="text1" w:themeTint="A6"/>
              </w:rPr>
            </w:pPr>
            <w:r w:rsidRPr="005708A7">
              <w:rPr>
                <w:rFonts w:ascii="Calibri Light" w:hAnsi="Calibri Light"/>
                <w:color w:val="595959" w:themeColor="text1" w:themeTint="A6"/>
              </w:rPr>
              <w:t>(</w:t>
            </w:r>
            <w:r w:rsidR="00001957" w:rsidRPr="005708A7">
              <w:rPr>
                <w:rFonts w:ascii="Calibri Light" w:hAnsi="Calibri Light"/>
                <w:color w:val="595959" w:themeColor="text1" w:themeTint="A6"/>
              </w:rPr>
              <w:t>/</w:t>
            </w:r>
            <w:r w:rsidRPr="005708A7">
              <w:rPr>
                <w:rFonts w:ascii="Calibri Light" w:hAnsi="Calibri Light"/>
                <w:color w:val="595959" w:themeColor="text1" w:themeTint="A6"/>
              </w:rPr>
              <w:t>date of the adoption of resolution</w:t>
            </w:r>
            <w:r w:rsidR="00001957" w:rsidRPr="005708A7">
              <w:rPr>
                <w:rFonts w:ascii="Calibri Light" w:hAnsi="Calibri Light"/>
                <w:color w:val="595959" w:themeColor="text1" w:themeTint="A6"/>
              </w:rPr>
              <w:t>/</w:t>
            </w:r>
            <w:r w:rsidRPr="005708A7">
              <w:rPr>
                <w:rFonts w:ascii="Calibri Light" w:hAnsi="Calibri Light"/>
                <w:color w:val="595959" w:themeColor="text1" w:themeTint="A6"/>
              </w:rPr>
              <w:t>)</w:t>
            </w:r>
          </w:p>
          <w:p w14:paraId="3DA96EA1" w14:textId="77777777" w:rsidR="00CD3E87" w:rsidRPr="005708A7" w:rsidRDefault="00CD3E87" w:rsidP="00CD3E87">
            <w:pPr>
              <w:jc w:val="left"/>
              <w:rPr>
                <w:rFonts w:ascii="Calibri Light" w:hAnsi="Calibri Light"/>
                <w:b/>
                <w:sz w:val="22"/>
                <w:szCs w:val="22"/>
                <w:u w:val="single"/>
              </w:rPr>
            </w:pPr>
            <w:r w:rsidRPr="005708A7">
              <w:rPr>
                <w:rFonts w:ascii="Calibri Light" w:hAnsi="Calibri Light"/>
                <w:b/>
                <w:sz w:val="22"/>
                <w:szCs w:val="22"/>
                <w:u w:val="single"/>
              </w:rPr>
              <w:t>Osaniku otsus</w:t>
            </w:r>
            <w:r w:rsidRPr="005708A7">
              <w:rPr>
                <w:rFonts w:ascii="Calibri Light" w:hAnsi="Calibri Light"/>
                <w:sz w:val="22"/>
                <w:szCs w:val="22"/>
              </w:rPr>
              <w:t>*</w:t>
            </w:r>
            <w:r w:rsidRPr="005708A7">
              <w:rPr>
                <w:rFonts w:ascii="Calibri Light" w:hAnsi="Calibri Light"/>
                <w:b/>
                <w:sz w:val="22"/>
                <w:szCs w:val="22"/>
                <w:u w:val="single"/>
              </w:rPr>
              <w:t xml:space="preserve"> </w:t>
            </w:r>
          </w:p>
          <w:p w14:paraId="2805EBFC" w14:textId="77777777" w:rsidR="00CD3E87" w:rsidRPr="005708A7" w:rsidRDefault="00CD3E87" w:rsidP="00CD3E87">
            <w:pPr>
              <w:jc w:val="left"/>
              <w:rPr>
                <w:rFonts w:ascii="Calibri Light" w:hAnsi="Calibri Light"/>
                <w:color w:val="595959" w:themeColor="text1" w:themeTint="A6"/>
              </w:rPr>
            </w:pPr>
            <w:r w:rsidRPr="005708A7">
              <w:rPr>
                <w:rFonts w:ascii="Calibri Light" w:hAnsi="Calibri Light"/>
                <w:color w:val="595959" w:themeColor="text1" w:themeTint="A6"/>
              </w:rPr>
              <w:t>(resolution of the shareholder*)</w:t>
            </w:r>
          </w:p>
          <w:p w14:paraId="063ADFB1" w14:textId="77777777" w:rsidR="00CD3E87" w:rsidRPr="005708A7" w:rsidRDefault="00CD3E87" w:rsidP="00CD3E87">
            <w:pPr>
              <w:pStyle w:val="Kehatekst"/>
              <w:jc w:val="both"/>
              <w:rPr>
                <w:rFonts w:ascii="Calibri Light" w:hAnsi="Calibri Light"/>
                <w:b/>
                <w:sz w:val="22"/>
                <w:szCs w:val="22"/>
                <w:lang w:eastAsia="et-EE"/>
              </w:rPr>
            </w:pPr>
          </w:p>
          <w:p w14:paraId="1BA4452C" w14:textId="77777777" w:rsidR="00CD3E87" w:rsidRPr="005708A7" w:rsidRDefault="00CD3E87" w:rsidP="00CD3E87">
            <w:pPr>
              <w:rPr>
                <w:rFonts w:ascii="Calibri Light" w:hAnsi="Calibri Light"/>
                <w:sz w:val="22"/>
                <w:szCs w:val="22"/>
              </w:rPr>
            </w:pPr>
            <w:r w:rsidRPr="005708A7">
              <w:rPr>
                <w:rFonts w:ascii="Calibri Light" w:hAnsi="Calibri Light"/>
                <w:sz w:val="22"/>
                <w:szCs w:val="22"/>
              </w:rPr>
              <w:t>Osanike nimekiri:</w:t>
            </w:r>
          </w:p>
          <w:p w14:paraId="07FE617C" w14:textId="77777777" w:rsidR="00CD3E87" w:rsidRPr="005708A7" w:rsidRDefault="00CD3E87" w:rsidP="00CD3E87">
            <w:pPr>
              <w:rPr>
                <w:rFonts w:ascii="Calibri Light" w:hAnsi="Calibri Light"/>
                <w:bCs/>
                <w:i/>
                <w:color w:val="595959" w:themeColor="text1" w:themeTint="A6"/>
              </w:rPr>
            </w:pPr>
            <w:r w:rsidRPr="005708A7">
              <w:rPr>
                <w:rFonts w:ascii="Calibri Light" w:hAnsi="Calibri Light"/>
                <w:i/>
                <w:color w:val="595959" w:themeColor="text1" w:themeTint="A6"/>
              </w:rPr>
              <w:t>(list of shareholders)</w:t>
            </w:r>
          </w:p>
          <w:p w14:paraId="44EE83E0" w14:textId="77777777" w:rsidR="00CD3E87" w:rsidRPr="005708A7" w:rsidRDefault="00CD3E87" w:rsidP="00CD3E87">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2180"/>
              <w:gridCol w:w="3177"/>
            </w:tblGrid>
            <w:tr w:rsidR="00CD6BA0" w:rsidRPr="005708A7" w14:paraId="183B84A6" w14:textId="77777777" w:rsidTr="00CD6BA0">
              <w:trPr>
                <w:trHeight w:val="1351"/>
              </w:trPr>
              <w:tc>
                <w:tcPr>
                  <w:tcW w:w="3249" w:type="dxa"/>
                  <w:shd w:val="clear" w:color="auto" w:fill="auto"/>
                </w:tcPr>
                <w:p w14:paraId="0D45FA33" w14:textId="77777777" w:rsidR="00CD6BA0" w:rsidRPr="005708A7" w:rsidRDefault="00CD6BA0" w:rsidP="00CD6BA0">
                  <w:pPr>
                    <w:pStyle w:val="Kehatekst"/>
                    <w:framePr w:hSpace="141" w:wrap="around" w:vAnchor="text" w:hAnchor="text" w:y="1"/>
                    <w:suppressOverlap/>
                    <w:jc w:val="both"/>
                    <w:rPr>
                      <w:rFonts w:ascii="Calibri Light" w:hAnsi="Calibri Light"/>
                      <w:b/>
                      <w:sz w:val="22"/>
                      <w:szCs w:val="22"/>
                    </w:rPr>
                  </w:pPr>
                  <w:r w:rsidRPr="005708A7">
                    <w:rPr>
                      <w:rFonts w:ascii="Calibri Light" w:hAnsi="Calibri Light"/>
                      <w:b/>
                      <w:sz w:val="22"/>
                      <w:szCs w:val="22"/>
                    </w:rPr>
                    <w:t xml:space="preserve">Osaniku nimi </w:t>
                  </w:r>
                </w:p>
                <w:p w14:paraId="509C377D" w14:textId="77777777" w:rsidR="00CD6BA0" w:rsidRPr="005708A7" w:rsidRDefault="00CD6BA0" w:rsidP="00CD6BA0">
                  <w:pPr>
                    <w:pStyle w:val="Kehatekst"/>
                    <w:framePr w:hSpace="141" w:wrap="around" w:vAnchor="text" w:hAnchor="text" w:y="1"/>
                    <w:suppressOverlap/>
                    <w:jc w:val="both"/>
                    <w:rPr>
                      <w:rFonts w:ascii="Calibri Light" w:hAnsi="Calibri Light"/>
                      <w:b/>
                      <w:sz w:val="22"/>
                      <w:szCs w:val="22"/>
                    </w:rPr>
                  </w:pPr>
                  <w:r w:rsidRPr="005708A7">
                    <w:rPr>
                      <w:rFonts w:ascii="Calibri Light" w:hAnsi="Calibri Light"/>
                      <w:i/>
                      <w:color w:val="595959" w:themeColor="text1" w:themeTint="A6"/>
                      <w:sz w:val="20"/>
                      <w:u w:color="000000"/>
                    </w:rPr>
                    <w:t>(shareholder’s name)</w:t>
                  </w:r>
                </w:p>
              </w:tc>
              <w:tc>
                <w:tcPr>
                  <w:tcW w:w="2180" w:type="dxa"/>
                  <w:shd w:val="clear" w:color="auto" w:fill="auto"/>
                </w:tcPr>
                <w:p w14:paraId="1409A2C2" w14:textId="671AB036" w:rsidR="00CD6BA0" w:rsidRPr="005708A7" w:rsidRDefault="00CD6BA0" w:rsidP="00CD6BA0">
                  <w:pPr>
                    <w:pStyle w:val="Kehatekst"/>
                    <w:framePr w:hSpace="141" w:wrap="around" w:vAnchor="text" w:hAnchor="text" w:y="1"/>
                    <w:suppressOverlap/>
                    <w:jc w:val="center"/>
                    <w:rPr>
                      <w:rFonts w:ascii="Calibri Light" w:hAnsi="Calibri Light"/>
                      <w:b/>
                      <w:sz w:val="22"/>
                      <w:szCs w:val="22"/>
                    </w:rPr>
                  </w:pPr>
                  <w:r w:rsidRPr="005708A7">
                    <w:rPr>
                      <w:rFonts w:ascii="Calibri Light" w:hAnsi="Calibri Light"/>
                      <w:b/>
                      <w:sz w:val="22"/>
                      <w:szCs w:val="22"/>
                    </w:rPr>
                    <w:t>Isiku- või registrikood / välismaa isikukood ja sünniaeg</w:t>
                  </w:r>
                </w:p>
                <w:p w14:paraId="50B5B8FA" w14:textId="77777777" w:rsidR="00CD6BA0" w:rsidRPr="005708A7" w:rsidRDefault="00CD6BA0" w:rsidP="00CD6BA0">
                  <w:pPr>
                    <w:pStyle w:val="Kehatekst"/>
                    <w:framePr w:hSpace="141" w:wrap="around" w:vAnchor="text" w:hAnchor="text" w:y="1"/>
                    <w:suppressOverlap/>
                    <w:jc w:val="center"/>
                    <w:rPr>
                      <w:rFonts w:ascii="Calibri Light" w:hAnsi="Calibri Light"/>
                      <w:b/>
                      <w:sz w:val="22"/>
                      <w:szCs w:val="22"/>
                    </w:rPr>
                  </w:pPr>
                  <w:r w:rsidRPr="005708A7">
                    <w:rPr>
                      <w:rFonts w:ascii="Calibri Light" w:hAnsi="Calibri Light"/>
                      <w:i/>
                      <w:color w:val="595959" w:themeColor="text1" w:themeTint="A6"/>
                      <w:sz w:val="20"/>
                      <w:u w:color="000000"/>
                    </w:rPr>
                    <w:t>(personal identification code or registry code / Foreign ID number and date of birth)</w:t>
                  </w:r>
                </w:p>
              </w:tc>
              <w:tc>
                <w:tcPr>
                  <w:tcW w:w="3177" w:type="dxa"/>
                  <w:shd w:val="clear" w:color="auto" w:fill="auto"/>
                </w:tcPr>
                <w:p w14:paraId="625C9F17" w14:textId="77777777" w:rsidR="00CD6BA0" w:rsidRPr="005708A7" w:rsidRDefault="00CD6BA0" w:rsidP="00CD6BA0">
                  <w:pPr>
                    <w:pStyle w:val="Kehatekst"/>
                    <w:framePr w:hSpace="141" w:wrap="around" w:vAnchor="text" w:hAnchor="text" w:y="1"/>
                    <w:suppressOverlap/>
                    <w:jc w:val="both"/>
                    <w:rPr>
                      <w:rFonts w:ascii="Calibri Light" w:hAnsi="Calibri Light"/>
                      <w:sz w:val="22"/>
                      <w:szCs w:val="22"/>
                    </w:rPr>
                  </w:pPr>
                  <w:r w:rsidRPr="005708A7">
                    <w:rPr>
                      <w:rFonts w:ascii="Calibri Light" w:hAnsi="Calibri Light"/>
                      <w:b/>
                      <w:sz w:val="22"/>
                      <w:szCs w:val="22"/>
                    </w:rPr>
                    <w:t>Osa nimiväärtus / häälte arv</w:t>
                  </w:r>
                  <w:r w:rsidRPr="005708A7">
                    <w:rPr>
                      <w:rFonts w:ascii="Calibri Light" w:hAnsi="Calibri Light"/>
                      <w:sz w:val="22"/>
                      <w:szCs w:val="22"/>
                    </w:rPr>
                    <w:t>**</w:t>
                  </w:r>
                </w:p>
                <w:p w14:paraId="16500E26" w14:textId="77777777" w:rsidR="00CD6BA0" w:rsidRPr="005708A7" w:rsidRDefault="00CD6BA0" w:rsidP="00CD6BA0">
                  <w:pPr>
                    <w:pStyle w:val="Kehatekst"/>
                    <w:framePr w:hSpace="141" w:wrap="around" w:vAnchor="text" w:hAnchor="text" w:y="1"/>
                    <w:suppressOverlap/>
                    <w:jc w:val="both"/>
                    <w:rPr>
                      <w:rFonts w:ascii="Calibri Light" w:hAnsi="Calibri Light"/>
                      <w:b/>
                      <w:sz w:val="22"/>
                      <w:szCs w:val="22"/>
                      <w:vertAlign w:val="superscript"/>
                    </w:rPr>
                  </w:pPr>
                  <w:r w:rsidRPr="005708A7">
                    <w:rPr>
                      <w:rFonts w:ascii="Calibri Light" w:hAnsi="Calibri Light"/>
                      <w:i/>
                      <w:color w:val="595959" w:themeColor="text1" w:themeTint="A6"/>
                      <w:sz w:val="20"/>
                      <w:u w:color="000000"/>
                    </w:rPr>
                    <w:t>(nominal value of a share / number of votes**</w:t>
                  </w:r>
                  <w:r w:rsidRPr="005708A7">
                    <w:rPr>
                      <w:rFonts w:ascii="Calibri Light" w:hAnsi="Calibri Light"/>
                      <w:i/>
                      <w:color w:val="595959" w:themeColor="text1" w:themeTint="A6"/>
                      <w:sz w:val="20"/>
                    </w:rPr>
                    <w:t>)</w:t>
                  </w:r>
                </w:p>
              </w:tc>
            </w:tr>
            <w:tr w:rsidR="00CD6BA0" w:rsidRPr="005708A7" w14:paraId="650E31CC" w14:textId="77777777" w:rsidTr="00CD6BA0">
              <w:trPr>
                <w:trHeight w:val="561"/>
              </w:trPr>
              <w:tc>
                <w:tcPr>
                  <w:tcW w:w="3249" w:type="dxa"/>
                  <w:shd w:val="clear" w:color="auto" w:fill="auto"/>
                </w:tcPr>
                <w:p w14:paraId="3E5C9AAA" w14:textId="77777777" w:rsidR="00CD6BA0" w:rsidRPr="005708A7" w:rsidRDefault="00CD6BA0" w:rsidP="00CD6BA0">
                  <w:pPr>
                    <w:pStyle w:val="Kehatekst"/>
                    <w:framePr w:hSpace="141" w:wrap="around" w:vAnchor="text" w:hAnchor="text" w:y="1"/>
                    <w:suppressOverlap/>
                    <w:jc w:val="both"/>
                    <w:rPr>
                      <w:rFonts w:ascii="Calibri Light" w:hAnsi="Calibri Light"/>
                      <w:b/>
                      <w:sz w:val="22"/>
                      <w:szCs w:val="22"/>
                    </w:rPr>
                  </w:pPr>
                </w:p>
                <w:p w14:paraId="01A634BE" w14:textId="77777777" w:rsidR="00CD6BA0" w:rsidRPr="005708A7" w:rsidRDefault="00CD6BA0" w:rsidP="00CD6BA0">
                  <w:pPr>
                    <w:pStyle w:val="Kehatekst"/>
                    <w:framePr w:hSpace="141" w:wrap="around" w:vAnchor="text" w:hAnchor="text" w:y="1"/>
                    <w:suppressOverlap/>
                    <w:jc w:val="both"/>
                    <w:rPr>
                      <w:rFonts w:ascii="Calibri Light" w:hAnsi="Calibri Light"/>
                      <w:b/>
                      <w:sz w:val="22"/>
                      <w:szCs w:val="22"/>
                    </w:rPr>
                  </w:pPr>
                </w:p>
              </w:tc>
              <w:tc>
                <w:tcPr>
                  <w:tcW w:w="2180" w:type="dxa"/>
                  <w:shd w:val="clear" w:color="auto" w:fill="auto"/>
                </w:tcPr>
                <w:p w14:paraId="60420D5A" w14:textId="77777777" w:rsidR="00CD6BA0" w:rsidRPr="005708A7" w:rsidRDefault="00CD6BA0" w:rsidP="00CD6BA0">
                  <w:pPr>
                    <w:pStyle w:val="Kehatekst"/>
                    <w:framePr w:hSpace="141" w:wrap="around" w:vAnchor="text" w:hAnchor="text" w:y="1"/>
                    <w:suppressOverlap/>
                    <w:jc w:val="both"/>
                    <w:rPr>
                      <w:rFonts w:ascii="Calibri Light" w:hAnsi="Calibri Light"/>
                      <w:b/>
                      <w:sz w:val="22"/>
                      <w:szCs w:val="22"/>
                    </w:rPr>
                  </w:pPr>
                </w:p>
              </w:tc>
              <w:tc>
                <w:tcPr>
                  <w:tcW w:w="3177" w:type="dxa"/>
                  <w:shd w:val="clear" w:color="auto" w:fill="auto"/>
                </w:tcPr>
                <w:p w14:paraId="67D4AD6E" w14:textId="77777777" w:rsidR="00CD6BA0" w:rsidRPr="005708A7" w:rsidRDefault="00CD6BA0" w:rsidP="00CD6BA0">
                  <w:pPr>
                    <w:pStyle w:val="Kehatekst"/>
                    <w:framePr w:hSpace="141" w:wrap="around" w:vAnchor="text" w:hAnchor="text" w:y="1"/>
                    <w:suppressOverlap/>
                    <w:jc w:val="both"/>
                    <w:rPr>
                      <w:rFonts w:ascii="Calibri Light" w:hAnsi="Calibri Light"/>
                      <w:b/>
                      <w:sz w:val="22"/>
                      <w:szCs w:val="22"/>
                    </w:rPr>
                  </w:pPr>
                </w:p>
              </w:tc>
            </w:tr>
          </w:tbl>
          <w:p w14:paraId="766596C9" w14:textId="77777777" w:rsidR="00CD3E87" w:rsidRPr="005708A7" w:rsidRDefault="00CD3E87" w:rsidP="00CD3E87">
            <w:pPr>
              <w:pStyle w:val="Kehatekst"/>
              <w:jc w:val="both"/>
              <w:rPr>
                <w:rFonts w:ascii="Calibri Light" w:hAnsi="Calibri Light"/>
                <w:b/>
                <w:szCs w:val="24"/>
              </w:rPr>
            </w:pPr>
          </w:p>
          <w:p w14:paraId="107668A1" w14:textId="77777777" w:rsidR="00CD3E87" w:rsidRPr="005708A7" w:rsidRDefault="00CD3E87" w:rsidP="00CD3E87">
            <w:pPr>
              <w:pStyle w:val="Kehatekst"/>
              <w:jc w:val="both"/>
              <w:rPr>
                <w:rFonts w:ascii="Calibri Light" w:hAnsi="Calibri Light"/>
                <w:b/>
                <w:szCs w:val="24"/>
              </w:rPr>
            </w:pPr>
          </w:p>
          <w:p w14:paraId="16E7D5CB" w14:textId="77777777" w:rsidR="00CD3E87" w:rsidRPr="005708A7" w:rsidRDefault="00CD3E87" w:rsidP="00CD3E87">
            <w:pPr>
              <w:pStyle w:val="Kehatekst"/>
              <w:jc w:val="both"/>
              <w:rPr>
                <w:rFonts w:ascii="Calibri Light" w:hAnsi="Calibri Light"/>
                <w:b/>
                <w:bCs/>
                <w:sz w:val="22"/>
                <w:szCs w:val="22"/>
                <w:lang w:val="en-US"/>
              </w:rPr>
            </w:pPr>
            <w:r w:rsidRPr="005708A7">
              <w:rPr>
                <w:rFonts w:ascii="Calibri Light" w:hAnsi="Calibri Light"/>
                <w:b/>
                <w:sz w:val="22"/>
                <w:szCs w:val="22"/>
              </w:rPr>
              <w:t>/</w:t>
            </w:r>
            <w:r w:rsidRPr="005708A7">
              <w:rPr>
                <w:rFonts w:ascii="Calibri Light" w:hAnsi="Calibri Light"/>
                <w:b/>
                <w:i/>
                <w:sz w:val="22"/>
                <w:szCs w:val="22"/>
                <w:highlight w:val="yellow"/>
              </w:rPr>
              <w:t>Osaühingu nimi</w:t>
            </w:r>
            <w:r w:rsidRPr="005708A7">
              <w:rPr>
                <w:rFonts w:ascii="Calibri Light" w:hAnsi="Calibri Light"/>
                <w:b/>
                <w:sz w:val="22"/>
                <w:szCs w:val="22"/>
              </w:rPr>
              <w:t>/</w:t>
            </w:r>
            <w:r w:rsidRPr="005708A7">
              <w:rPr>
                <w:rFonts w:ascii="Calibri Light" w:hAnsi="Calibri Light"/>
                <w:sz w:val="22"/>
                <w:szCs w:val="22"/>
                <w:lang w:val="en-US"/>
              </w:rPr>
              <w:t xml:space="preserve"> </w:t>
            </w:r>
            <w:r w:rsidRPr="005708A7">
              <w:rPr>
                <w:rFonts w:ascii="Calibri Light" w:hAnsi="Calibri Light"/>
                <w:b/>
                <w:sz w:val="22"/>
                <w:szCs w:val="22"/>
                <w:lang w:val="en-US"/>
              </w:rPr>
              <w:t xml:space="preserve">osanik(ud) </w:t>
            </w:r>
            <w:r w:rsidRPr="005708A7">
              <w:rPr>
                <w:rFonts w:ascii="Calibri Light" w:eastAsiaTheme="minorEastAsia" w:hAnsi="Calibri Light"/>
                <w:b/>
                <w:bCs/>
                <w:sz w:val="22"/>
                <w:szCs w:val="22"/>
              </w:rPr>
              <w:t>otsustas(id)</w:t>
            </w:r>
            <w:r w:rsidRPr="005708A7">
              <w:rPr>
                <w:rFonts w:ascii="Calibri Light" w:hAnsi="Calibri Light"/>
                <w:b/>
                <w:bCs/>
                <w:sz w:val="22"/>
                <w:szCs w:val="22"/>
                <w:lang w:val="en-US"/>
              </w:rPr>
              <w:t>:</w:t>
            </w:r>
          </w:p>
          <w:p w14:paraId="570185B1" w14:textId="05E70041" w:rsidR="00CD3E87" w:rsidRPr="005708A7" w:rsidRDefault="00CD3E87" w:rsidP="00CD3E87">
            <w:pPr>
              <w:pStyle w:val="Kehatekst"/>
              <w:jc w:val="both"/>
              <w:rPr>
                <w:rFonts w:ascii="Calibri Light" w:hAnsi="Calibri Light"/>
                <w:bCs/>
                <w:i/>
                <w:sz w:val="20"/>
              </w:rPr>
            </w:pPr>
            <w:r w:rsidRPr="005708A7">
              <w:rPr>
                <w:rFonts w:ascii="Calibri Light" w:hAnsi="Calibri Light"/>
                <w:i/>
                <w:color w:val="595959" w:themeColor="text1" w:themeTint="A6"/>
                <w:sz w:val="20"/>
              </w:rPr>
              <w:t>(</w:t>
            </w:r>
            <w:r w:rsidR="0004244A" w:rsidRPr="005708A7">
              <w:rPr>
                <w:rFonts w:ascii="Calibri Light" w:hAnsi="Calibri Light"/>
                <w:i/>
                <w:color w:val="595959" w:themeColor="text1" w:themeTint="A6"/>
                <w:sz w:val="20"/>
              </w:rPr>
              <w:t>/</w:t>
            </w:r>
            <w:r w:rsidRPr="005708A7">
              <w:rPr>
                <w:rFonts w:ascii="Calibri Light" w:hAnsi="Calibri Light"/>
                <w:i/>
                <w:color w:val="595959" w:themeColor="text1" w:themeTint="A6"/>
                <w:sz w:val="20"/>
              </w:rPr>
              <w:t>name of the private limited company/ shareholder(s) decided)</w:t>
            </w:r>
          </w:p>
          <w:p w14:paraId="3EAF72E7" w14:textId="77777777" w:rsidR="00CD3E87" w:rsidRPr="005708A7" w:rsidRDefault="00CD3E87" w:rsidP="00CD3E87">
            <w:pPr>
              <w:pStyle w:val="Kehatekst"/>
              <w:jc w:val="both"/>
              <w:rPr>
                <w:rFonts w:ascii="Calibri Light" w:hAnsi="Calibri Light"/>
                <w:b/>
                <w:bCs/>
                <w:szCs w:val="24"/>
                <w:lang w:val="en-US"/>
              </w:rPr>
            </w:pPr>
          </w:p>
          <w:p w14:paraId="6BD7EEDE" w14:textId="77777777" w:rsidR="00CD3E87" w:rsidRPr="005708A7" w:rsidRDefault="00CD3E87" w:rsidP="00CD3E87">
            <w:pPr>
              <w:pStyle w:val="Lihttekst"/>
              <w:numPr>
                <w:ilvl w:val="0"/>
                <w:numId w:val="15"/>
              </w:numPr>
              <w:jc w:val="both"/>
              <w:rPr>
                <w:rFonts w:ascii="Calibri Light" w:hAnsi="Calibri Light" w:cs="Times New Roman"/>
                <w:bCs/>
                <w:sz w:val="22"/>
                <w:szCs w:val="22"/>
                <w:lang w:val="en-US"/>
              </w:rPr>
            </w:pPr>
            <w:r w:rsidRPr="005708A7">
              <w:rPr>
                <w:rFonts w:ascii="Calibri Light" w:hAnsi="Calibri Light" w:cs="Times New Roman"/>
                <w:bCs/>
                <w:sz w:val="22"/>
                <w:szCs w:val="22"/>
                <w:lang w:val="en-US"/>
              </w:rPr>
              <w:t>Lõpetada osaühingu tegevus.</w:t>
            </w:r>
          </w:p>
          <w:p w14:paraId="7B4780A5" w14:textId="16C43583" w:rsidR="00CD3E87" w:rsidRPr="005708A7" w:rsidRDefault="00CD3E87" w:rsidP="00CD3E87">
            <w:pPr>
              <w:pStyle w:val="Lihttekst"/>
              <w:ind w:left="360"/>
              <w:jc w:val="both"/>
              <w:rPr>
                <w:rFonts w:ascii="Calibri Light" w:hAnsi="Calibri Light" w:cs="Times New Roman"/>
                <w:bCs/>
                <w:color w:val="595959" w:themeColor="text1" w:themeTint="A6"/>
              </w:rPr>
            </w:pPr>
            <w:r w:rsidRPr="005708A7">
              <w:rPr>
                <w:rFonts w:ascii="Calibri Light" w:hAnsi="Calibri Light"/>
                <w:color w:val="595959" w:themeColor="text1" w:themeTint="A6"/>
              </w:rPr>
              <w:t>(to terminate the activities of the private limited company)</w:t>
            </w:r>
          </w:p>
          <w:p w14:paraId="55F3AA84" w14:textId="77777777" w:rsidR="00CD3E87" w:rsidRPr="005708A7" w:rsidRDefault="00CD3E87" w:rsidP="00CD3E87">
            <w:pPr>
              <w:pStyle w:val="Lihttekst"/>
              <w:ind w:left="720"/>
              <w:jc w:val="both"/>
              <w:rPr>
                <w:rFonts w:ascii="Calibri Light" w:hAnsi="Calibri Light" w:cs="Times New Roman"/>
                <w:bCs/>
                <w:sz w:val="24"/>
                <w:szCs w:val="24"/>
                <w:lang w:val="en-US"/>
              </w:rPr>
            </w:pPr>
          </w:p>
          <w:p w14:paraId="7FE16B22" w14:textId="2402D306" w:rsidR="00CD3E87" w:rsidRPr="005708A7" w:rsidRDefault="00CD3E87" w:rsidP="00CD3E87">
            <w:pPr>
              <w:pStyle w:val="Lihttekst"/>
              <w:numPr>
                <w:ilvl w:val="0"/>
                <w:numId w:val="15"/>
              </w:numPr>
              <w:jc w:val="both"/>
              <w:rPr>
                <w:rFonts w:ascii="Calibri Light" w:hAnsi="Calibri Light" w:cs="Times New Roman"/>
                <w:bCs/>
                <w:sz w:val="22"/>
                <w:szCs w:val="22"/>
                <w:lang w:val="en-US"/>
              </w:rPr>
            </w:pPr>
            <w:r w:rsidRPr="005708A7">
              <w:rPr>
                <w:rFonts w:ascii="Calibri Light" w:hAnsi="Calibri Light" w:cs="Times New Roman"/>
                <w:bCs/>
                <w:sz w:val="22"/>
                <w:szCs w:val="22"/>
                <w:lang w:val="en-US"/>
              </w:rPr>
              <w:t>Määrata likvideerija(te)ks /</w:t>
            </w:r>
            <w:r w:rsidRPr="005708A7">
              <w:rPr>
                <w:rFonts w:ascii="Calibri Light" w:hAnsi="Calibri Light" w:cs="Times New Roman"/>
                <w:bCs/>
                <w:i/>
                <w:sz w:val="22"/>
                <w:szCs w:val="22"/>
                <w:highlight w:val="yellow"/>
                <w:lang w:val="en-US"/>
              </w:rPr>
              <w:t>ees- ja perekonnanimi(ed)</w:t>
            </w:r>
            <w:r w:rsidRPr="005708A7">
              <w:rPr>
                <w:rFonts w:ascii="Calibri Light" w:hAnsi="Calibri Light" w:cs="Times New Roman"/>
                <w:bCs/>
                <w:sz w:val="22"/>
                <w:szCs w:val="22"/>
                <w:lang w:val="en-US"/>
              </w:rPr>
              <w:t>/.</w:t>
            </w:r>
            <w:r w:rsidRPr="005708A7">
              <w:rPr>
                <w:rFonts w:ascii="Calibri Light" w:hAnsi="Calibri Light"/>
                <w:sz w:val="22"/>
                <w:szCs w:val="22"/>
              </w:rPr>
              <w:t>***</w:t>
            </w:r>
          </w:p>
          <w:p w14:paraId="22A815FD" w14:textId="17A76E81" w:rsidR="00CD3E87" w:rsidRPr="005708A7" w:rsidRDefault="00CD3E87" w:rsidP="00CD3E87">
            <w:pPr>
              <w:pStyle w:val="Lihttekst"/>
              <w:ind w:left="360"/>
              <w:jc w:val="both"/>
              <w:rPr>
                <w:rFonts w:ascii="Calibri Light" w:hAnsi="Calibri Light"/>
                <w:color w:val="595959" w:themeColor="text1" w:themeTint="A6"/>
              </w:rPr>
            </w:pPr>
            <w:r w:rsidRPr="005708A7">
              <w:rPr>
                <w:rFonts w:ascii="Calibri Light" w:hAnsi="Calibri Light"/>
                <w:color w:val="595959" w:themeColor="text1" w:themeTint="A6"/>
              </w:rPr>
              <w:t xml:space="preserve">(to appoint /given name(s) and surname(s)/ as liquidator(s)***) </w:t>
            </w:r>
          </w:p>
          <w:p w14:paraId="099F8344" w14:textId="77777777" w:rsidR="00CD3E87" w:rsidRPr="005708A7" w:rsidRDefault="00CD3E87" w:rsidP="00CD3E87">
            <w:pPr>
              <w:pStyle w:val="Lihttekst"/>
              <w:ind w:left="360"/>
              <w:jc w:val="both"/>
              <w:rPr>
                <w:rFonts w:ascii="Calibri Light" w:hAnsi="Calibri Light"/>
              </w:rPr>
            </w:pPr>
          </w:p>
          <w:p w14:paraId="477B763C" w14:textId="77777777" w:rsidR="00CD3E87" w:rsidRPr="005708A7" w:rsidRDefault="00CD3E87" w:rsidP="00CD3E87">
            <w:pPr>
              <w:pStyle w:val="Lihttekst"/>
              <w:ind w:left="360"/>
              <w:jc w:val="both"/>
              <w:rPr>
                <w:rFonts w:ascii="Calibri Light" w:hAnsi="Calibri Light"/>
              </w:rPr>
            </w:pPr>
          </w:p>
          <w:p w14:paraId="7EE3ED34" w14:textId="77777777" w:rsidR="00CD3E87" w:rsidRPr="005708A7" w:rsidRDefault="00CD3E87" w:rsidP="00CD3E87">
            <w:pPr>
              <w:pStyle w:val="Lihttekst"/>
              <w:ind w:left="360"/>
              <w:jc w:val="both"/>
              <w:rPr>
                <w:rFonts w:ascii="Calibri Light" w:hAnsi="Calibri Light"/>
              </w:rPr>
            </w:pPr>
          </w:p>
          <w:p w14:paraId="090FE61F" w14:textId="77777777" w:rsidR="00CD3E87" w:rsidRPr="005708A7" w:rsidRDefault="00CD3E87" w:rsidP="00CD3E87">
            <w:pPr>
              <w:pStyle w:val="Lihttekst"/>
              <w:ind w:left="360"/>
              <w:jc w:val="both"/>
              <w:rPr>
                <w:rFonts w:ascii="Calibri Light" w:hAnsi="Calibri Light"/>
              </w:rPr>
            </w:pPr>
          </w:p>
          <w:p w14:paraId="41FBDB0D" w14:textId="77777777" w:rsidR="00CD3E87" w:rsidRPr="005708A7" w:rsidRDefault="00CD3E87" w:rsidP="00CD3E87">
            <w:pPr>
              <w:pStyle w:val="Lihttekst"/>
              <w:ind w:left="360"/>
              <w:jc w:val="both"/>
              <w:rPr>
                <w:rFonts w:ascii="Calibri Light" w:hAnsi="Calibri Light" w:cs="Times New Roman"/>
                <w:bCs/>
              </w:rPr>
            </w:pPr>
          </w:p>
          <w:p w14:paraId="246D177C" w14:textId="77777777" w:rsidR="00CD3E87" w:rsidRPr="005708A7" w:rsidRDefault="00CD3E87" w:rsidP="00CD3E87">
            <w:pPr>
              <w:pStyle w:val="Lihttekst"/>
              <w:jc w:val="both"/>
              <w:rPr>
                <w:rFonts w:ascii="Calibri Light" w:hAnsi="Calibri Light" w:cs="Times New Roman"/>
                <w:bCs/>
                <w:sz w:val="24"/>
                <w:szCs w:val="24"/>
                <w:lang w:val="en-US"/>
              </w:rPr>
            </w:pPr>
          </w:p>
          <w:p w14:paraId="082AB4E9" w14:textId="77777777" w:rsidR="00CD3E87" w:rsidRPr="005708A7" w:rsidRDefault="00CD3E87" w:rsidP="00CD3E87">
            <w:pPr>
              <w:pStyle w:val="Kehatekst"/>
              <w:jc w:val="both"/>
              <w:rPr>
                <w:rFonts w:ascii="Calibri Light" w:hAnsi="Calibri Light"/>
                <w:bCs/>
                <w:i/>
                <w:szCs w:val="24"/>
                <w:lang w:val="en-US"/>
              </w:rPr>
            </w:pPr>
            <w:r w:rsidRPr="005708A7">
              <w:rPr>
                <w:rFonts w:ascii="Calibri Light" w:hAnsi="Calibri Light"/>
                <w:bCs/>
                <w:i/>
                <w:szCs w:val="24"/>
                <w:lang w:val="en-US"/>
              </w:rPr>
              <w:t>____________________________</w:t>
            </w:r>
          </w:p>
          <w:p w14:paraId="696AFF59" w14:textId="77777777" w:rsidR="00CD3E87" w:rsidRPr="005708A7" w:rsidRDefault="00CD3E87" w:rsidP="00CD3E87">
            <w:pPr>
              <w:pStyle w:val="Kehatekst"/>
              <w:jc w:val="both"/>
              <w:rPr>
                <w:rFonts w:ascii="Calibri Light" w:hAnsi="Calibri Light"/>
                <w:bCs/>
                <w:sz w:val="22"/>
                <w:szCs w:val="22"/>
                <w:lang w:val="en-US"/>
              </w:rPr>
            </w:pPr>
            <w:r w:rsidRPr="005708A7">
              <w:rPr>
                <w:rFonts w:ascii="Calibri Light" w:hAnsi="Calibri Light"/>
                <w:bCs/>
                <w:sz w:val="22"/>
                <w:szCs w:val="22"/>
                <w:lang w:val="en-US"/>
              </w:rPr>
              <w:t>Ainuosaniku allkiri / kõigi osanike allkirjad</w:t>
            </w:r>
          </w:p>
          <w:p w14:paraId="7A8DBEE2" w14:textId="77777777" w:rsidR="00CD3E87" w:rsidRPr="005708A7" w:rsidRDefault="00CD3E87" w:rsidP="00CD3E87">
            <w:pPr>
              <w:pStyle w:val="Kehatekst"/>
              <w:jc w:val="both"/>
              <w:rPr>
                <w:rFonts w:ascii="Calibri Light" w:hAnsi="Calibri Light"/>
                <w:bCs/>
                <w:sz w:val="20"/>
              </w:rPr>
            </w:pPr>
            <w:r w:rsidRPr="005708A7">
              <w:rPr>
                <w:rFonts w:ascii="Calibri Light" w:hAnsi="Calibri Light"/>
                <w:color w:val="595959" w:themeColor="text1" w:themeTint="A6"/>
                <w:sz w:val="20"/>
              </w:rPr>
              <w:t>Signature of sole shareholder / Signatures of all shareholders</w:t>
            </w:r>
          </w:p>
          <w:p w14:paraId="77FF9E69" w14:textId="77777777" w:rsidR="00CD3E87" w:rsidRPr="005708A7" w:rsidRDefault="00CD3E87" w:rsidP="00CD3E87">
            <w:pPr>
              <w:pStyle w:val="Lihttekst"/>
              <w:jc w:val="both"/>
              <w:rPr>
                <w:rFonts w:ascii="Calibri Light" w:hAnsi="Calibri Light" w:cs="Times New Roman"/>
                <w:bCs/>
                <w:sz w:val="24"/>
                <w:szCs w:val="24"/>
                <w:lang w:val="en-US"/>
              </w:rPr>
            </w:pPr>
          </w:p>
          <w:p w14:paraId="5B438EA9" w14:textId="0973A4AB" w:rsidR="00CD3E87" w:rsidRPr="005708A7" w:rsidRDefault="00CD3E87" w:rsidP="00CD3E87">
            <w:pPr>
              <w:jc w:val="left"/>
              <w:rPr>
                <w:rFonts w:ascii="Calibri Light" w:hAnsi="Calibri Light"/>
              </w:rPr>
            </w:pPr>
          </w:p>
        </w:tc>
      </w:tr>
      <w:tr w:rsidR="00CD3E87" w:rsidRPr="005708A7" w14:paraId="26798F21" w14:textId="77777777" w:rsidTr="00CD3E87">
        <w:tc>
          <w:tcPr>
            <w:tcW w:w="8897" w:type="dxa"/>
          </w:tcPr>
          <w:p w14:paraId="04AC625C" w14:textId="5A9308FF" w:rsidR="00CD3E87" w:rsidRPr="005708A7" w:rsidRDefault="00CD3E87" w:rsidP="00CD3E87">
            <w:pPr>
              <w:pStyle w:val="Allmrkusetekst"/>
              <w:rPr>
                <w:rFonts w:ascii="Calibri Light" w:hAnsi="Calibri Light"/>
                <w:sz w:val="17"/>
                <w:szCs w:val="17"/>
              </w:rPr>
            </w:pPr>
            <w:r w:rsidRPr="005708A7">
              <w:rPr>
                <w:rStyle w:val="Allmrkuseviide"/>
                <w:rFonts w:ascii="Calibri Light" w:hAnsi="Calibri Light"/>
                <w:sz w:val="17"/>
                <w:szCs w:val="17"/>
              </w:rPr>
              <w:footnoteRef/>
            </w:r>
            <w:r w:rsidRPr="005708A7">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CD6BA0">
              <w:rPr>
                <w:rFonts w:ascii="Calibri Light" w:hAnsi="Calibri Light"/>
                <w:sz w:val="17"/>
                <w:szCs w:val="17"/>
                <w:vertAlign w:val="superscript"/>
              </w:rPr>
              <w:t>1</w:t>
            </w:r>
            <w:r w:rsidRPr="005708A7">
              <w:rPr>
                <w:rFonts w:ascii="Calibri Light" w:hAnsi="Calibri Light"/>
                <w:sz w:val="17"/>
                <w:szCs w:val="17"/>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3BD8140D" w14:textId="32C9F8FA" w:rsidR="00CD3E87" w:rsidRPr="005708A7" w:rsidRDefault="00CD3E87" w:rsidP="00CD3E87">
            <w:pPr>
              <w:pStyle w:val="Allmrkusetekst"/>
              <w:rPr>
                <w:rFonts w:ascii="Calibri Light" w:hAnsi="Calibri Light"/>
                <w:color w:val="595959" w:themeColor="text1" w:themeTint="A6"/>
                <w:sz w:val="17"/>
                <w:szCs w:val="17"/>
              </w:rPr>
            </w:pPr>
            <w:r w:rsidRPr="005708A7">
              <w:rPr>
                <w:rStyle w:val="Allmrkuseviide"/>
                <w:rFonts w:ascii="Calibri Light" w:hAnsi="Calibri Light"/>
                <w:color w:val="595959" w:themeColor="text1" w:themeTint="A6"/>
                <w:sz w:val="17"/>
                <w:szCs w:val="17"/>
              </w:rPr>
              <w:footnoteRef/>
            </w:r>
            <w:r w:rsidRPr="005708A7">
              <w:rPr>
                <w:rFonts w:ascii="Calibri Light" w:hAnsi="Calibri Light"/>
                <w:color w:val="595959" w:themeColor="text1" w:themeTint="A6"/>
                <w:sz w:val="17"/>
                <w:szCs w:val="17"/>
              </w:rPr>
              <w:t xml:space="preserve">   If a private limited company has a single shareholder or if, in addition to such shareholder, only the private limited company is a shareholder, resolutions may be adopted without observing the provisions of § 170, subsections 171 (4)–(6), § 172 and </w:t>
            </w:r>
            <w:r w:rsidRPr="005708A7">
              <w:rPr>
                <w:rFonts w:ascii="Calibri Light" w:hAnsi="Calibri Light"/>
                <w:color w:val="595959" w:themeColor="text1" w:themeTint="A6"/>
                <w:sz w:val="17"/>
                <w:szCs w:val="17"/>
              </w:rPr>
              <w:lastRenderedPageBreak/>
              <w:t>subsections 173 (1)–(4</w:t>
            </w:r>
            <w:r w:rsidR="00CD6BA0">
              <w:rPr>
                <w:rFonts w:ascii="Calibri Light" w:hAnsi="Calibri Light"/>
                <w:color w:val="595959" w:themeColor="text1" w:themeTint="A6"/>
                <w:sz w:val="17"/>
                <w:szCs w:val="17"/>
                <w:vertAlign w:val="superscript"/>
              </w:rPr>
              <w:t>1</w:t>
            </w:r>
            <w:r w:rsidRPr="005708A7">
              <w:rPr>
                <w:rFonts w:ascii="Calibri Light" w:hAnsi="Calibri Light"/>
                <w:color w:val="595959" w:themeColor="text1" w:themeTint="A6"/>
                <w:sz w:val="17"/>
                <w:szCs w:val="17"/>
              </w:rPr>
              <w:t xml:space="preserve">)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0659BDEE" w14:textId="77777777" w:rsidR="00CD3E87" w:rsidRPr="005708A7" w:rsidRDefault="00CD3E87" w:rsidP="00CD3E87">
            <w:pPr>
              <w:pStyle w:val="Allmrkusetekst"/>
              <w:rPr>
                <w:rFonts w:ascii="Calibri Light" w:hAnsi="Calibri Light"/>
                <w:color w:val="595959" w:themeColor="text1" w:themeTint="A6"/>
                <w:sz w:val="17"/>
                <w:szCs w:val="17"/>
              </w:rPr>
            </w:pPr>
          </w:p>
          <w:p w14:paraId="6446042A" w14:textId="730A1E25" w:rsidR="00CD3E87" w:rsidRPr="005708A7" w:rsidRDefault="00CD3E87" w:rsidP="00CD3E87">
            <w:pPr>
              <w:pStyle w:val="Allmrkusetekst"/>
              <w:rPr>
                <w:rFonts w:ascii="Calibri Light" w:hAnsi="Calibri Light"/>
                <w:sz w:val="17"/>
                <w:szCs w:val="17"/>
              </w:rPr>
            </w:pPr>
            <w:r w:rsidRPr="005708A7">
              <w:rPr>
                <w:rStyle w:val="Allmrkuseviide"/>
                <w:rFonts w:ascii="Calibri Light" w:hAnsi="Calibri Light"/>
                <w:sz w:val="17"/>
                <w:szCs w:val="17"/>
              </w:rPr>
              <w:t>**</w:t>
            </w:r>
            <w:r w:rsidRPr="005708A7">
              <w:rPr>
                <w:rFonts w:ascii="Calibri Light" w:hAnsi="Calibri Light"/>
                <w:sz w:val="17"/>
                <w:szCs w:val="17"/>
              </w:rPr>
              <w:t xml:space="preserve"> Osa iga üks </w:t>
            </w:r>
            <w:r w:rsidR="00CD6BA0">
              <w:rPr>
                <w:rFonts w:ascii="Calibri Light" w:hAnsi="Calibri Light"/>
                <w:sz w:val="17"/>
                <w:szCs w:val="17"/>
              </w:rPr>
              <w:t>sent</w:t>
            </w:r>
            <w:r w:rsidRPr="005708A7">
              <w:rPr>
                <w:rFonts w:ascii="Calibri Light" w:hAnsi="Calibri Light"/>
                <w:sz w:val="17"/>
                <w:szCs w:val="17"/>
              </w:rPr>
              <w:t xml:space="preserve"> annab ühe hääle, kui põhikirjaga ei ole ette nähtud teisiti.</w:t>
            </w:r>
          </w:p>
          <w:p w14:paraId="7FCBB1C5" w14:textId="5EE36420" w:rsidR="00CD3E87" w:rsidRPr="005708A7" w:rsidRDefault="00CD3E87" w:rsidP="00CD3E87">
            <w:pPr>
              <w:pStyle w:val="Allmrkusetekst"/>
              <w:rPr>
                <w:rFonts w:ascii="Calibri Light" w:hAnsi="Calibri Light"/>
                <w:color w:val="595959" w:themeColor="text1" w:themeTint="A6"/>
                <w:sz w:val="17"/>
                <w:szCs w:val="17"/>
              </w:rPr>
            </w:pPr>
            <w:r w:rsidRPr="005708A7">
              <w:rPr>
                <w:rStyle w:val="Allmrkuseviide"/>
                <w:rFonts w:ascii="Calibri Light" w:hAnsi="Calibri Light"/>
                <w:color w:val="595959" w:themeColor="text1" w:themeTint="A6"/>
                <w:sz w:val="17"/>
                <w:szCs w:val="17"/>
              </w:rPr>
              <w:t>**</w:t>
            </w:r>
            <w:r w:rsidRPr="005708A7">
              <w:rPr>
                <w:rFonts w:ascii="Calibri Light" w:hAnsi="Calibri Light"/>
                <w:color w:val="595959" w:themeColor="text1" w:themeTint="A6"/>
                <w:sz w:val="17"/>
                <w:szCs w:val="17"/>
              </w:rPr>
              <w:t xml:space="preserve"> Each one </w:t>
            </w:r>
            <w:r w:rsidR="00CD6BA0">
              <w:rPr>
                <w:rFonts w:ascii="Calibri Light" w:hAnsi="Calibri Light"/>
                <w:color w:val="595959" w:themeColor="text1" w:themeTint="A6"/>
                <w:sz w:val="17"/>
                <w:szCs w:val="17"/>
              </w:rPr>
              <w:t>cent</w:t>
            </w:r>
            <w:r w:rsidRPr="005708A7">
              <w:rPr>
                <w:rFonts w:ascii="Calibri Light" w:hAnsi="Calibri Light"/>
                <w:color w:val="595959" w:themeColor="text1" w:themeTint="A6"/>
                <w:sz w:val="17"/>
                <w:szCs w:val="17"/>
              </w:rPr>
              <w:t xml:space="preserve"> of a share shall grant one vote unless the articles of association prescribe otherwise.</w:t>
            </w:r>
          </w:p>
          <w:p w14:paraId="0EC3922E" w14:textId="77777777" w:rsidR="00CD3E87" w:rsidRPr="005708A7" w:rsidRDefault="00CD3E87" w:rsidP="00CD3E87">
            <w:pPr>
              <w:pStyle w:val="Allmrkusetekst"/>
              <w:rPr>
                <w:rFonts w:ascii="Calibri Light" w:hAnsi="Calibri Light"/>
                <w:sz w:val="17"/>
                <w:szCs w:val="17"/>
              </w:rPr>
            </w:pPr>
          </w:p>
          <w:p w14:paraId="6D1AA78E" w14:textId="77777777" w:rsidR="00CD3E87" w:rsidRPr="005708A7" w:rsidRDefault="00CD3E87" w:rsidP="00CD3E87">
            <w:pPr>
              <w:pStyle w:val="Allmrkusetekst"/>
              <w:rPr>
                <w:rFonts w:ascii="Calibri Light" w:hAnsi="Calibri Light"/>
                <w:sz w:val="17"/>
                <w:szCs w:val="17"/>
              </w:rPr>
            </w:pPr>
            <w:r w:rsidRPr="005708A7">
              <w:rPr>
                <w:rStyle w:val="Allmrkuseviide"/>
                <w:rFonts w:ascii="Calibri Light" w:hAnsi="Calibri Light"/>
                <w:sz w:val="17"/>
                <w:szCs w:val="17"/>
              </w:rPr>
              <w:t>***</w:t>
            </w:r>
            <w:r w:rsidRPr="005708A7">
              <w:rPr>
                <w:rFonts w:ascii="Calibri Light" w:hAnsi="Calibri Light"/>
                <w:sz w:val="17"/>
                <w:szCs w:val="17"/>
              </w:rPr>
              <w:t xml:space="preserve"> Osaühingu likvideerijateks on juhatuse liikmed, kui põhikirjas, osanike otsusega või kohtumäärusega ei ole ette nähtud teisiti. Likvideerijaks ei või olla füüsiline isik, kes ei või olla juhatuse liikmeks.- ÄS § 206 lg 1. Likvideerijatest juhatuse liikmete esindusõigus likvideerimise puhul ei muutu, kui põhikirjaga, osanike otsusega või kohtulahendiga ei nähta ette esindusõiguse muutumist ühiseks esinduseks või ainuesinduseks. Osanike otsusega või kohtulahendiga nimetatud likvideerijad võivad osaühingut esindada üksnes ühiselt, kui osanike otsuse või kohtulahendiga ei ole ette nähtud, et likvideerijad või osa neist võivad esindada osaühingut üksinda või mitmekesi. Seaduses sätestatust erinev esindusõiguse jaotus kehtib kolmandate isikute suhtes üksnes juhul, kui see on kantud äriregistrisse. - ÄS § 209 lg 4.</w:t>
            </w:r>
          </w:p>
          <w:p w14:paraId="509EA8B3" w14:textId="4FD3B7E4" w:rsidR="00CD3E87" w:rsidRPr="005708A7" w:rsidRDefault="00CD3E87" w:rsidP="00CD3E87">
            <w:pPr>
              <w:pStyle w:val="Allmrkusetekst"/>
              <w:rPr>
                <w:rFonts w:ascii="Calibri Light" w:hAnsi="Calibri Light"/>
                <w:sz w:val="17"/>
                <w:szCs w:val="17"/>
              </w:rPr>
            </w:pPr>
            <w:r w:rsidRPr="005708A7">
              <w:rPr>
                <w:rStyle w:val="Allmrkuseviide"/>
                <w:rFonts w:ascii="Calibri Light" w:hAnsi="Calibri Light"/>
                <w:color w:val="595959" w:themeColor="text1" w:themeTint="A6"/>
                <w:sz w:val="17"/>
                <w:szCs w:val="17"/>
              </w:rPr>
              <w:t>***</w:t>
            </w:r>
            <w:r w:rsidRPr="005708A7">
              <w:rPr>
                <w:rFonts w:ascii="Calibri Light" w:hAnsi="Calibri Light"/>
                <w:color w:val="595959" w:themeColor="text1" w:themeTint="A6"/>
                <w:sz w:val="17"/>
                <w:szCs w:val="17"/>
              </w:rPr>
              <w:t xml:space="preserve"> The liquidators of a private limited company shall be members of the management board unless the articles of association, a resolution of the shareholders or a court ruling prescribes otherwise. A natural person who is prohibited from acting as a member of the management board shall not be a liquidator. (Commercial Code subsection 206 (1)) The right of representation of liquidators who are members of the management board does not change upon liquidation unless the articles of association, a decision of the shareholders or a court decision prescribes the changing of the right of representation into joint representation or sole representation. Liquidators appointed by a resolution of the shareholders or a court decision may represent the private limited company only jointly, unless the resolution of the general meeting or a court decision prescribe that all or some of the liquidators may represent the private limited company alone or together. A division of the right of representation which differs from the right of representation prescribed by law applies with respect to third persons only if it has been entered in the commercial register. (Commercial Code subsection 209 (4))</w:t>
            </w:r>
          </w:p>
        </w:tc>
      </w:tr>
    </w:tbl>
    <w:p w14:paraId="697D16F2" w14:textId="4295D880" w:rsidR="00F9698C" w:rsidRPr="005708A7" w:rsidRDefault="00CD3E87" w:rsidP="00D52235">
      <w:pPr>
        <w:rPr>
          <w:rFonts w:ascii="Calibri Light" w:hAnsi="Calibri Light"/>
          <w:sz w:val="24"/>
        </w:rPr>
      </w:pPr>
      <w:r w:rsidRPr="005708A7">
        <w:rPr>
          <w:rFonts w:ascii="Calibri Light" w:hAnsi="Calibri Light"/>
          <w:sz w:val="24"/>
        </w:rPr>
        <w:lastRenderedPageBreak/>
        <w:br w:type="textWrapping" w:clear="all"/>
      </w:r>
    </w:p>
    <w:sectPr w:rsidR="00F9698C" w:rsidRPr="005708A7" w:rsidSect="00CD3E8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7CEE" w14:textId="77777777" w:rsidR="00EF1040" w:rsidRDefault="00EF1040" w:rsidP="00CA44A0">
      <w:r>
        <w:separator/>
      </w:r>
    </w:p>
  </w:endnote>
  <w:endnote w:type="continuationSeparator" w:id="0">
    <w:p w14:paraId="4FE5ACAE" w14:textId="77777777" w:rsidR="00EF1040" w:rsidRDefault="00EF104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268C" w14:textId="77777777" w:rsidR="00EF1040" w:rsidRDefault="00EF1040" w:rsidP="00CA44A0">
      <w:r>
        <w:separator/>
      </w:r>
    </w:p>
  </w:footnote>
  <w:footnote w:type="continuationSeparator" w:id="0">
    <w:p w14:paraId="576F7E96" w14:textId="77777777" w:rsidR="00EF1040" w:rsidRDefault="00EF1040"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977E27"/>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59358043">
    <w:abstractNumId w:val="8"/>
  </w:num>
  <w:num w:numId="2" w16cid:durableId="53311132">
    <w:abstractNumId w:val="6"/>
  </w:num>
  <w:num w:numId="3" w16cid:durableId="877860468">
    <w:abstractNumId w:val="1"/>
  </w:num>
  <w:num w:numId="4" w16cid:durableId="907569558">
    <w:abstractNumId w:val="15"/>
  </w:num>
  <w:num w:numId="5" w16cid:durableId="491026670">
    <w:abstractNumId w:val="0"/>
  </w:num>
  <w:num w:numId="6" w16cid:durableId="284309785">
    <w:abstractNumId w:val="11"/>
  </w:num>
  <w:num w:numId="7" w16cid:durableId="1971665651">
    <w:abstractNumId w:val="2"/>
  </w:num>
  <w:num w:numId="8" w16cid:durableId="1767581284">
    <w:abstractNumId w:val="13"/>
  </w:num>
  <w:num w:numId="9" w16cid:durableId="390615172">
    <w:abstractNumId w:val="3"/>
  </w:num>
  <w:num w:numId="10" w16cid:durableId="1937900519">
    <w:abstractNumId w:val="4"/>
  </w:num>
  <w:num w:numId="11" w16cid:durableId="1195384955">
    <w:abstractNumId w:val="5"/>
  </w:num>
  <w:num w:numId="12" w16cid:durableId="1302614045">
    <w:abstractNumId w:val="14"/>
  </w:num>
  <w:num w:numId="13" w16cid:durableId="755902619">
    <w:abstractNumId w:val="7"/>
  </w:num>
  <w:num w:numId="14" w16cid:durableId="472335185">
    <w:abstractNumId w:val="10"/>
  </w:num>
  <w:num w:numId="15" w16cid:durableId="76023997">
    <w:abstractNumId w:val="12"/>
  </w:num>
  <w:num w:numId="16" w16cid:durableId="1844540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01957"/>
    <w:rsid w:val="0003527D"/>
    <w:rsid w:val="0004244A"/>
    <w:rsid w:val="00061000"/>
    <w:rsid w:val="00073C12"/>
    <w:rsid w:val="00092D65"/>
    <w:rsid w:val="001A03A9"/>
    <w:rsid w:val="002F1146"/>
    <w:rsid w:val="0031335B"/>
    <w:rsid w:val="003502E8"/>
    <w:rsid w:val="003B7667"/>
    <w:rsid w:val="00417030"/>
    <w:rsid w:val="00473082"/>
    <w:rsid w:val="004C2B87"/>
    <w:rsid w:val="005708A7"/>
    <w:rsid w:val="005A3508"/>
    <w:rsid w:val="00604EB1"/>
    <w:rsid w:val="00631257"/>
    <w:rsid w:val="00777508"/>
    <w:rsid w:val="00812D96"/>
    <w:rsid w:val="00861B1D"/>
    <w:rsid w:val="008827E5"/>
    <w:rsid w:val="008C1C5B"/>
    <w:rsid w:val="00903B73"/>
    <w:rsid w:val="00904359"/>
    <w:rsid w:val="0091371E"/>
    <w:rsid w:val="00942F47"/>
    <w:rsid w:val="0097243A"/>
    <w:rsid w:val="00983A03"/>
    <w:rsid w:val="009C4541"/>
    <w:rsid w:val="00A34EA2"/>
    <w:rsid w:val="00A829F7"/>
    <w:rsid w:val="00AE5E0D"/>
    <w:rsid w:val="00B14DD2"/>
    <w:rsid w:val="00B41D17"/>
    <w:rsid w:val="00B83E2A"/>
    <w:rsid w:val="00BD6205"/>
    <w:rsid w:val="00C02E33"/>
    <w:rsid w:val="00C07A3F"/>
    <w:rsid w:val="00C80FA6"/>
    <w:rsid w:val="00CA44A0"/>
    <w:rsid w:val="00CB1546"/>
    <w:rsid w:val="00CC2A42"/>
    <w:rsid w:val="00CD3E87"/>
    <w:rsid w:val="00CD6BA0"/>
    <w:rsid w:val="00CE6EF0"/>
    <w:rsid w:val="00CF5563"/>
    <w:rsid w:val="00CF59C7"/>
    <w:rsid w:val="00D006EA"/>
    <w:rsid w:val="00D52235"/>
    <w:rsid w:val="00D8641D"/>
    <w:rsid w:val="00DD193E"/>
    <w:rsid w:val="00E332DD"/>
    <w:rsid w:val="00E45694"/>
    <w:rsid w:val="00E719BD"/>
    <w:rsid w:val="00E756A6"/>
    <w:rsid w:val="00ED5C36"/>
    <w:rsid w:val="00EF1040"/>
    <w:rsid w:val="00F11A0E"/>
    <w:rsid w:val="00F20333"/>
    <w:rsid w:val="00F466E2"/>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577D1629-65F7-4DEC-9E1E-2ECE858D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3944</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2016-06-07T15:24:00Z</dcterms:created>
  <dcterms:modified xsi:type="dcterms:W3CDTF">2024-03-12T13:41:00Z</dcterms:modified>
</cp:coreProperties>
</file>